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C9" w:rsidRDefault="00D86AC9" w:rsidP="00D86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</w:rPr>
        <w:t>Наименование услуги</w:t>
      </w:r>
      <w:r w:rsidR="002717E3">
        <w:rPr>
          <w:rFonts w:ascii="Times New Roman" w:hAnsi="Times New Roman" w:cs="Times New Roman"/>
          <w:sz w:val="28"/>
          <w:szCs w:val="28"/>
        </w:rPr>
        <w:t xml:space="preserve"> - "Выдача разрешений</w:t>
      </w:r>
      <w:r w:rsidRPr="00D86AC9">
        <w:rPr>
          <w:rFonts w:ascii="Times New Roman" w:hAnsi="Times New Roman" w:cs="Times New Roman"/>
          <w:sz w:val="28"/>
          <w:szCs w:val="28"/>
        </w:rPr>
        <w:t xml:space="preserve"> на стро</w:t>
      </w:r>
      <w:r w:rsidR="002717E3">
        <w:rPr>
          <w:rFonts w:ascii="Times New Roman" w:hAnsi="Times New Roman" w:cs="Times New Roman"/>
          <w:sz w:val="28"/>
          <w:szCs w:val="28"/>
        </w:rPr>
        <w:t>ительство, реконструкцию объектов</w:t>
      </w:r>
      <w:bookmarkStart w:id="0" w:name="_GoBack"/>
      <w:bookmarkEnd w:id="0"/>
      <w:r w:rsidRPr="00D86AC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строительства" </w:t>
      </w:r>
    </w:p>
    <w:p w:rsidR="00D86AC9" w:rsidRDefault="00D86AC9" w:rsidP="00D86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"/>
      <w:r w:rsidRPr="00D86AC9">
        <w:rPr>
          <w:rFonts w:ascii="Times New Roman" w:hAnsi="Times New Roman" w:cs="Times New Roman"/>
          <w:b/>
          <w:sz w:val="28"/>
          <w:szCs w:val="28"/>
        </w:rPr>
        <w:t>Заявителями являются:</w:t>
      </w:r>
      <w:r w:rsidRPr="00D86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C9" w:rsidRDefault="00D86AC9" w:rsidP="00D86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AC9">
        <w:rPr>
          <w:rFonts w:ascii="Times New Roman" w:hAnsi="Times New Roman" w:cs="Times New Roman"/>
          <w:sz w:val="28"/>
          <w:szCs w:val="28"/>
        </w:rPr>
        <w:t xml:space="preserve">физические </w:t>
      </w:r>
    </w:p>
    <w:p w:rsidR="00D86AC9" w:rsidRPr="00D86AC9" w:rsidRDefault="00D86AC9" w:rsidP="00D8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6AC9">
        <w:rPr>
          <w:rFonts w:ascii="Times New Roman" w:hAnsi="Times New Roman" w:cs="Times New Roman"/>
          <w:sz w:val="28"/>
          <w:szCs w:val="28"/>
        </w:rPr>
        <w:t xml:space="preserve"> юридические лица, обеспечивающие на принадлежащем им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 (застройщики).</w:t>
      </w:r>
    </w:p>
    <w:bookmarkEnd w:id="1"/>
    <w:p w:rsidR="00D86AC9" w:rsidRPr="00D86AC9" w:rsidRDefault="00D86AC9" w:rsidP="00D86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AC9">
        <w:rPr>
          <w:rFonts w:ascii="Times New Roman" w:hAnsi="Times New Roman" w:cs="Times New Roman"/>
          <w:sz w:val="28"/>
          <w:szCs w:val="28"/>
        </w:rPr>
        <w:t>Заявления на выдачу разрешения на строительство поданные несовершеннолетними гражданами в возрасте до 18 лет не рассматриваются, кроме случаев, оговоренных в законодательстве.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51071"/>
      <w:r w:rsidRPr="00D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документов: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соглашения о передаче в случаях, установленных </w:t>
      </w:r>
      <w:hyperlink r:id="rId5" w:history="1">
        <w:r w:rsidRPr="00D86A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073"/>
      <w:bookmarkEnd w:id="2"/>
      <w:r w:rsidRPr="00D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содержащиеся в проектной документации: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10731"/>
      <w:bookmarkEnd w:id="3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10732"/>
      <w:bookmarkEnd w:id="4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10733"/>
      <w:bookmarkEnd w:id="5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схема планировочной организации земельного участка, подтверждающая расположение линейного объекта в пределах </w:t>
      </w:r>
      <w:hyperlink r:id="rId6" w:anchor="sub_1011" w:history="1">
        <w:r w:rsidRPr="00D86A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красных линий</w:t>
        </w:r>
      </w:hyperlink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в составе документации по планировке территории применительно к линейным объектам;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10734"/>
      <w:bookmarkEnd w:id="6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схемы, отображающие архитектурные решения;</w:t>
      </w:r>
    </w:p>
    <w:bookmarkEnd w:id="7"/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10736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10737"/>
      <w:bookmarkEnd w:id="8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bookmarkEnd w:id="9"/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7" w:anchor="sub_48121" w:history="1">
        <w:r w:rsidRPr="00D86A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12.1 статьи 48</w:t>
        </w:r>
      </w:hyperlink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Федерации), если такая проектная документация подлежит экспертизе 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</w:t>
      </w:r>
      <w:hyperlink r:id="rId8" w:anchor="sub_49" w:history="1">
        <w:r w:rsidRPr="00D86A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49</w:t>
        </w:r>
      </w:hyperlink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9" w:anchor="sub_4934" w:history="1">
        <w:r w:rsidRPr="00D86A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3.4 статьи 49</w:t>
        </w:r>
      </w:hyperlink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экспертизы проектной документации в случаях, предусмотренных </w:t>
      </w:r>
      <w:hyperlink r:id="rId10" w:anchor="sub_4906" w:history="1">
        <w:r w:rsidRPr="00D86A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6 статьи 49</w:t>
        </w:r>
      </w:hyperlink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                                  в под</w:t>
      </w:r>
      <w:hyperlink r:id="rId11" w:anchor="sub_510762" w:history="1">
        <w:r w:rsidRPr="00D86A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 6</w:t>
        </w:r>
      </w:hyperlink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55 случаев реконструкции многоквартирного дома;</w:t>
      </w:r>
      <w:proofErr w:type="gramEnd"/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предусмотренные </w:t>
      </w:r>
      <w:hyperlink r:id="rId12" w:history="1">
        <w:r w:rsidRPr="00D86A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1072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bookmarkEnd w:id="10"/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разрешение на отклонение от предельных параметров разрешенного строительства, </w:t>
      </w:r>
      <w:hyperlink r:id="rId13" w:anchor="sub_1014" w:history="1">
        <w:r w:rsidRPr="00D86A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реконструкции</w:t>
        </w:r>
      </w:hyperlink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застройщику было предоставлено такое разрешение в соответствии со </w:t>
      </w:r>
      <w:hyperlink r:id="rId14" w:anchor="sub_40" w:history="1">
        <w:r w:rsidRPr="00D86A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40</w:t>
        </w:r>
      </w:hyperlink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Федерации).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proofErr w:type="gramStart"/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правоустанавливающие документы на земельный участок;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радостроительный план земельного участка.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заявителем по собственной инициативе.</w:t>
      </w:r>
    </w:p>
    <w:p w:rsidR="00D86AC9" w:rsidRPr="00D86AC9" w:rsidRDefault="00D86AC9" w:rsidP="00D8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D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86AC9" w:rsidRPr="00D86AC9" w:rsidRDefault="00D86AC9" w:rsidP="00D86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 является:</w:t>
      </w:r>
    </w:p>
    <w:p w:rsidR="00D86AC9" w:rsidRPr="00D86AC9" w:rsidRDefault="00D86AC9" w:rsidP="00D86AC9">
      <w:pPr>
        <w:pStyle w:val="a3"/>
        <w:shd w:val="clear" w:color="auto" w:fill="F4F0E7"/>
        <w:spacing w:before="0" w:beforeAutospacing="0" w:after="0" w:afterAutospacing="0"/>
        <w:rPr>
          <w:color w:val="444444"/>
          <w:spacing w:val="3"/>
          <w:sz w:val="28"/>
          <w:szCs w:val="28"/>
        </w:rPr>
      </w:pPr>
      <w:r w:rsidRPr="00D86AC9">
        <w:rPr>
          <w:color w:val="444444"/>
          <w:spacing w:val="3"/>
          <w:sz w:val="28"/>
          <w:szCs w:val="28"/>
        </w:rPr>
        <w:t>а) решение о выдачи разрешения на строительство;</w:t>
      </w:r>
    </w:p>
    <w:p w:rsidR="00D86AC9" w:rsidRPr="00D86AC9" w:rsidRDefault="00D86AC9" w:rsidP="00D86AC9">
      <w:pPr>
        <w:pStyle w:val="a3"/>
        <w:shd w:val="clear" w:color="auto" w:fill="F4F0E7"/>
        <w:spacing w:before="0" w:beforeAutospacing="0" w:after="0" w:afterAutospacing="0"/>
        <w:rPr>
          <w:color w:val="444444"/>
          <w:spacing w:val="3"/>
          <w:sz w:val="28"/>
          <w:szCs w:val="28"/>
        </w:rPr>
      </w:pPr>
      <w:r w:rsidRPr="00D86AC9">
        <w:rPr>
          <w:color w:val="444444"/>
          <w:spacing w:val="3"/>
          <w:sz w:val="28"/>
          <w:szCs w:val="28"/>
        </w:rPr>
        <w:t>б) решение о продлении срока действия разрешения на строительство;</w:t>
      </w:r>
    </w:p>
    <w:p w:rsidR="00D86AC9" w:rsidRPr="00D86AC9" w:rsidRDefault="00D86AC9" w:rsidP="00D86AC9">
      <w:pPr>
        <w:pStyle w:val="a3"/>
        <w:shd w:val="clear" w:color="auto" w:fill="F4F0E7"/>
        <w:spacing w:before="0" w:beforeAutospacing="0" w:after="0" w:afterAutospacing="0"/>
        <w:rPr>
          <w:color w:val="444444"/>
          <w:spacing w:val="3"/>
          <w:sz w:val="28"/>
          <w:szCs w:val="28"/>
        </w:rPr>
      </w:pPr>
      <w:r w:rsidRPr="00D86AC9">
        <w:rPr>
          <w:color w:val="444444"/>
          <w:spacing w:val="3"/>
          <w:sz w:val="28"/>
          <w:szCs w:val="28"/>
        </w:rPr>
        <w:t>в) решение об отказе в выдаче разрешения на строительство;</w:t>
      </w:r>
    </w:p>
    <w:p w:rsidR="00D86AC9" w:rsidRPr="00D86AC9" w:rsidRDefault="00D86AC9" w:rsidP="00D86AC9">
      <w:pPr>
        <w:pStyle w:val="a3"/>
        <w:shd w:val="clear" w:color="auto" w:fill="F4F0E7"/>
        <w:spacing w:before="0" w:beforeAutospacing="0" w:after="0" w:afterAutospacing="0"/>
        <w:rPr>
          <w:color w:val="444444"/>
          <w:spacing w:val="3"/>
          <w:sz w:val="28"/>
          <w:szCs w:val="28"/>
        </w:rPr>
      </w:pPr>
      <w:r w:rsidRPr="00D86AC9">
        <w:rPr>
          <w:color w:val="444444"/>
          <w:spacing w:val="3"/>
          <w:sz w:val="28"/>
          <w:szCs w:val="28"/>
        </w:rPr>
        <w:t>г) решение об отказе в продлении срока действия разрешения на строительство</w:t>
      </w:r>
    </w:p>
    <w:p w:rsidR="007464A6" w:rsidRPr="00D86AC9" w:rsidRDefault="00D86AC9" w:rsidP="00D86AC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</w:t>
      </w:r>
    </w:p>
    <w:p w:rsidR="00D86AC9" w:rsidRPr="00D86AC9" w:rsidRDefault="00D86AC9" w:rsidP="00D86AC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6AC9">
        <w:rPr>
          <w:rFonts w:ascii="Times New Roman" w:hAnsi="Times New Roman" w:cs="Times New Roman"/>
          <w:b/>
          <w:sz w:val="28"/>
          <w:szCs w:val="28"/>
        </w:rPr>
        <w:t>Сроки оказания услуги:</w:t>
      </w:r>
    </w:p>
    <w:p w:rsidR="00D86AC9" w:rsidRPr="00D86AC9" w:rsidRDefault="00D86AC9" w:rsidP="00D86AC9">
      <w:pPr>
        <w:pStyle w:val="a3"/>
        <w:shd w:val="clear" w:color="auto" w:fill="F4F0E7"/>
        <w:spacing w:before="0" w:beforeAutospacing="0" w:after="0" w:afterAutospacing="0"/>
        <w:rPr>
          <w:color w:val="444444"/>
          <w:spacing w:val="3"/>
          <w:sz w:val="28"/>
          <w:szCs w:val="28"/>
        </w:rPr>
      </w:pPr>
      <w:r w:rsidRPr="00D86AC9">
        <w:rPr>
          <w:color w:val="444444"/>
          <w:spacing w:val="3"/>
          <w:sz w:val="28"/>
          <w:szCs w:val="28"/>
        </w:rPr>
        <w:t>- Общий срок предоставления государственной услуги включает срок межведомственного взаимодействия органов власти и организаций </w:t>
      </w:r>
      <w:r w:rsidRPr="00D86AC9">
        <w:rPr>
          <w:color w:val="444444"/>
          <w:spacing w:val="3"/>
          <w:sz w:val="28"/>
          <w:szCs w:val="28"/>
        </w:rPr>
        <w:br/>
        <w:t>в процессе предоставления государственной услуги и не может превышать 10 дней;</w:t>
      </w:r>
    </w:p>
    <w:p w:rsidR="00D86AC9" w:rsidRPr="00D86AC9" w:rsidRDefault="00D86AC9" w:rsidP="00D86AC9">
      <w:pPr>
        <w:pStyle w:val="a3"/>
        <w:shd w:val="clear" w:color="auto" w:fill="F4F0E7"/>
        <w:spacing w:before="0" w:beforeAutospacing="0" w:after="0" w:afterAutospacing="0"/>
        <w:rPr>
          <w:color w:val="444444"/>
          <w:spacing w:val="3"/>
          <w:sz w:val="28"/>
          <w:szCs w:val="28"/>
        </w:rPr>
      </w:pPr>
      <w:r w:rsidRPr="00D86AC9">
        <w:rPr>
          <w:color w:val="444444"/>
          <w:spacing w:val="3"/>
          <w:sz w:val="28"/>
          <w:szCs w:val="28"/>
        </w:rPr>
        <w:t>- Срок предоставления государственной услуги исчисляется со дня, следующего за днем регистрации запроса о предоставлении государственной услуги. </w:t>
      </w:r>
    </w:p>
    <w:p w:rsidR="00D86AC9" w:rsidRPr="00D86AC9" w:rsidRDefault="00D86AC9" w:rsidP="00D86AC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86AC9" w:rsidRPr="00D86AC9" w:rsidSect="002F44A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C9"/>
    <w:rsid w:val="002717E3"/>
    <w:rsid w:val="007464A6"/>
    <w:rsid w:val="00782609"/>
    <w:rsid w:val="00D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Temp\111\&#1059;&#1040;&#1080;&#1043;\&#1080;&#1079;&#1084;&#1077;&#1085;&#1077;&#1085;&#1080;&#1103;%20&#1074;%20&#1087;&#1086;&#1089;&#1090;&#1072;&#1085;&#1086;&#1074;&#1083;&#1077;&#1085;&#1080;&#1103;\&#1048;&#1079;&#1084;%20&#1074;%20&#1088;&#1077;&#1075;&#1083;%20-%20&#1088;&#1072;&#1079;&#1088;&#1077;&#1096;%20&#1085;&#1072;%20&#1089;&#1090;&#1088;&#1086;&#1080;&#1090;%20&#8470;%202495%20&#1086;&#1090;%2029.08.2012.docx" TargetMode="External"/><Relationship Id="rId13" Type="http://schemas.openxmlformats.org/officeDocument/2006/relationships/hyperlink" Target="file:///L:\Temp\111\&#1059;&#1040;&#1080;&#1043;\&#1080;&#1079;&#1084;&#1077;&#1085;&#1077;&#1085;&#1080;&#1103;%20&#1074;%20&#1087;&#1086;&#1089;&#1090;&#1072;&#1085;&#1086;&#1074;&#1083;&#1077;&#1085;&#1080;&#1103;\&#1048;&#1079;&#1084;%20&#1074;%20&#1088;&#1077;&#1075;&#1083;%20-%20&#1088;&#1072;&#1079;&#1088;&#1077;&#1096;%20&#1085;&#1072;%20&#1089;&#1090;&#1088;&#1086;&#1080;&#1090;%20&#8470;%202495%20&#1086;&#1090;%2029.08.2012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L:\Temp\111\&#1059;&#1040;&#1080;&#1043;\&#1080;&#1079;&#1084;&#1077;&#1085;&#1077;&#1085;&#1080;&#1103;%20&#1074;%20&#1087;&#1086;&#1089;&#1090;&#1072;&#1085;&#1086;&#1074;&#1083;&#1077;&#1085;&#1080;&#1103;\&#1048;&#1079;&#1084;%20&#1074;%20&#1088;&#1077;&#1075;&#1083;%20-%20&#1088;&#1072;&#1079;&#1088;&#1077;&#1096;%20&#1085;&#1072;%20&#1089;&#1090;&#1088;&#1086;&#1080;&#1090;%20&#8470;%202495%20&#1086;&#1090;%2029.08.2012.docx" TargetMode="External"/><Relationship Id="rId12" Type="http://schemas.openxmlformats.org/officeDocument/2006/relationships/hyperlink" Target="garantF1://12027232.1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L:\Temp\111\&#1059;&#1040;&#1080;&#1043;\&#1080;&#1079;&#1084;&#1077;&#1085;&#1077;&#1085;&#1080;&#1103;%20&#1074;%20&#1087;&#1086;&#1089;&#1090;&#1072;&#1085;&#1086;&#1074;&#1083;&#1077;&#1085;&#1080;&#1103;\&#1048;&#1079;&#1084;%20&#1074;%20&#1088;&#1077;&#1075;&#1083;%20-%20&#1088;&#1072;&#1079;&#1088;&#1077;&#1096;%20&#1085;&#1072;%20&#1089;&#1090;&#1088;&#1086;&#1080;&#1090;%20&#8470;%202495%20&#1086;&#1090;%2029.08.2012.docx" TargetMode="External"/><Relationship Id="rId11" Type="http://schemas.openxmlformats.org/officeDocument/2006/relationships/hyperlink" Target="file:///L:\Temp\111\&#1059;&#1040;&#1080;&#1043;\&#1080;&#1079;&#1084;&#1077;&#1085;&#1077;&#1085;&#1080;&#1103;%20&#1074;%20&#1087;&#1086;&#1089;&#1090;&#1072;&#1085;&#1086;&#1074;&#1083;&#1077;&#1085;&#1080;&#1103;\&#1048;&#1079;&#1084;%20&#1074;%20&#1088;&#1077;&#1075;&#1083;%20-%20&#1088;&#1072;&#1079;&#1088;&#1077;&#1096;%20&#1085;&#1072;%20&#1089;&#1090;&#1088;&#1086;&#1080;&#1090;%20&#8470;%202495%20&#1086;&#1090;%2029.08.2012.docx" TargetMode="External"/><Relationship Id="rId5" Type="http://schemas.openxmlformats.org/officeDocument/2006/relationships/hyperlink" Target="garantF1://12012604.4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L:\Temp\111\&#1059;&#1040;&#1080;&#1043;\&#1080;&#1079;&#1084;&#1077;&#1085;&#1077;&#1085;&#1080;&#1103;%20&#1074;%20&#1087;&#1086;&#1089;&#1090;&#1072;&#1085;&#1086;&#1074;&#1083;&#1077;&#1085;&#1080;&#1103;\&#1048;&#1079;&#1084;%20&#1074;%20&#1088;&#1077;&#1075;&#1083;%20-%20&#1088;&#1072;&#1079;&#1088;&#1077;&#1096;%20&#1085;&#1072;%20&#1089;&#1090;&#1088;&#1086;&#1080;&#1090;%20&#8470;%202495%20&#1086;&#1090;%2029.08.20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L:\Temp\111\&#1059;&#1040;&#1080;&#1043;\&#1080;&#1079;&#1084;&#1077;&#1085;&#1077;&#1085;&#1080;&#1103;%20&#1074;%20&#1087;&#1086;&#1089;&#1090;&#1072;&#1085;&#1086;&#1074;&#1083;&#1077;&#1085;&#1080;&#1103;\&#1048;&#1079;&#1084;%20&#1074;%20&#1088;&#1077;&#1075;&#1083;%20-%20&#1088;&#1072;&#1079;&#1088;&#1077;&#1096;%20&#1085;&#1072;%20&#1089;&#1090;&#1088;&#1086;&#1080;&#1090;%20&#8470;%202495%20&#1086;&#1090;%2029.08.2012.docx" TargetMode="External"/><Relationship Id="rId14" Type="http://schemas.openxmlformats.org/officeDocument/2006/relationships/hyperlink" Target="file:///L:\Temp\111\&#1059;&#1040;&#1080;&#1043;\&#1080;&#1079;&#1084;&#1077;&#1085;&#1077;&#1085;&#1080;&#1103;%20&#1074;%20&#1087;&#1086;&#1089;&#1090;&#1072;&#1085;&#1086;&#1074;&#1083;&#1077;&#1085;&#1080;&#1103;\&#1048;&#1079;&#1084;%20&#1074;%20&#1088;&#1077;&#1075;&#1083;%20-%20&#1088;&#1072;&#1079;&#1088;&#1077;&#1096;%20&#1085;&#1072;%20&#1089;&#1090;&#1088;&#1086;&#1080;&#1090;%20&#8470;%202495%20&#1086;&#1090;%2029.08.20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Ковригина</cp:lastModifiedBy>
  <cp:revision>3</cp:revision>
  <dcterms:created xsi:type="dcterms:W3CDTF">2015-08-20T10:24:00Z</dcterms:created>
  <dcterms:modified xsi:type="dcterms:W3CDTF">2015-08-20T10:58:00Z</dcterms:modified>
</cp:coreProperties>
</file>